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C77" w:rsidRPr="00E43D13" w:rsidRDefault="00977C77" w:rsidP="00977C77">
      <w:pPr>
        <w:spacing w:after="0"/>
        <w:jc w:val="center"/>
        <w:rPr>
          <w:b/>
          <w:sz w:val="32"/>
          <w:szCs w:val="32"/>
        </w:rPr>
      </w:pPr>
      <w:r w:rsidRPr="00E43D13">
        <w:rPr>
          <w:b/>
          <w:sz w:val="32"/>
          <w:szCs w:val="32"/>
        </w:rPr>
        <w:t>Tarcza</w:t>
      </w:r>
    </w:p>
    <w:p w:rsidR="00FB039E" w:rsidRPr="00E43D13" w:rsidRDefault="00977C77" w:rsidP="00977C77">
      <w:pPr>
        <w:spacing w:after="0"/>
        <w:jc w:val="center"/>
        <w:rPr>
          <w:b/>
          <w:sz w:val="32"/>
          <w:szCs w:val="32"/>
        </w:rPr>
      </w:pPr>
      <w:r w:rsidRPr="00E43D13">
        <w:rPr>
          <w:b/>
          <w:sz w:val="32"/>
          <w:szCs w:val="32"/>
        </w:rPr>
        <w:t>Antykryzysowa</w:t>
      </w:r>
    </w:p>
    <w:p w:rsidR="00977C77" w:rsidRPr="00E43D13" w:rsidRDefault="00977C77" w:rsidP="00977C77">
      <w:pPr>
        <w:jc w:val="center"/>
        <w:rPr>
          <w:sz w:val="24"/>
          <w:szCs w:val="24"/>
        </w:rPr>
      </w:pPr>
      <w:r w:rsidRPr="00E43D13">
        <w:rPr>
          <w:sz w:val="24"/>
          <w:szCs w:val="24"/>
        </w:rPr>
        <w:t>Wybrane zagadnienia dla klubów sportowych</w:t>
      </w:r>
    </w:p>
    <w:p w:rsidR="00977C77" w:rsidRPr="00E43D13" w:rsidRDefault="00977C77" w:rsidP="004E7481">
      <w:pPr>
        <w:jc w:val="both"/>
        <w:rPr>
          <w:sz w:val="24"/>
          <w:szCs w:val="24"/>
        </w:rPr>
      </w:pPr>
      <w:r w:rsidRPr="00E43D13">
        <w:rPr>
          <w:sz w:val="24"/>
          <w:szCs w:val="24"/>
        </w:rPr>
        <w:t>Przedstawione zagadnienia zostały opracowane na postawie przepisów ustawy o zwalczaniu COVID-19, należy przez to rozumieć ustawę z dnia 2 marca 2020 r. o szczególnych rozwiązaniach związanych z zapobieganiem, przeciwdziałaniem i zwalczaniem COVID-19 ze zmianami.</w:t>
      </w:r>
    </w:p>
    <w:p w:rsidR="00977C77" w:rsidRPr="00E43D13" w:rsidRDefault="00C74A2F" w:rsidP="00C74A2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43D13">
        <w:rPr>
          <w:b/>
          <w:sz w:val="24"/>
          <w:szCs w:val="24"/>
        </w:rPr>
        <w:t>Zwolnienie ze składek ZUS</w:t>
      </w:r>
      <w:r w:rsidR="004C14EE" w:rsidRPr="00E43D13">
        <w:rPr>
          <w:b/>
          <w:sz w:val="24"/>
          <w:szCs w:val="24"/>
        </w:rPr>
        <w:t>.</w:t>
      </w:r>
    </w:p>
    <w:p w:rsidR="00C74A2F" w:rsidRDefault="001A6B51" w:rsidP="00C74A2F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>Kluby</w:t>
      </w:r>
      <w:r w:rsidR="00C74A2F" w:rsidRPr="00E43D13">
        <w:rPr>
          <w:sz w:val="24"/>
          <w:szCs w:val="24"/>
        </w:rPr>
        <w:t xml:space="preserve">, które na dzień 29 lutego 2020 r. zgłosiły do ubezpieczeń społecznych mniej niż 10 ubezpieczonych, są zwolnione z obowiązku opłacenia nieopłaconych należności </w:t>
      </w:r>
      <w:r w:rsidR="00E43D13">
        <w:rPr>
          <w:sz w:val="24"/>
          <w:szCs w:val="24"/>
        </w:rPr>
        <w:br/>
      </w:r>
      <w:r w:rsidR="00C74A2F" w:rsidRPr="00E43D13">
        <w:rPr>
          <w:sz w:val="24"/>
          <w:szCs w:val="24"/>
        </w:rPr>
        <w:t xml:space="preserve">z tytułu składek na ubezpieczenia społeczne, na ubezpieczenie zdrowotne, na Fundusz Pracy, Fundusz Solidarnościowy, Fundusz Gwarantowanych Świadczeń Pracowniczych lub Fundusz Emerytur Pomostowych, należnych za okres od dnia 1 marca 2020 r. do dnia 31 maja 2020 r., wykazanych w deklaracjach rozliczeniowych złożonych za ten okres. W przypadku </w:t>
      </w:r>
      <w:r w:rsidR="007B5050" w:rsidRPr="00E43D13">
        <w:rPr>
          <w:sz w:val="24"/>
          <w:szCs w:val="24"/>
        </w:rPr>
        <w:t>klubów</w:t>
      </w:r>
      <w:r w:rsidR="00C74A2F" w:rsidRPr="00E43D13">
        <w:rPr>
          <w:sz w:val="24"/>
          <w:szCs w:val="24"/>
        </w:rPr>
        <w:t xml:space="preserve">, które zgłosiły do ubezpieczeń społecznych od 10 do 49 ubezpieczonych zwolnione zostaje 50% łącznej kwoty należności. Wniosek </w:t>
      </w:r>
      <w:r w:rsidR="00E43D13">
        <w:rPr>
          <w:sz w:val="24"/>
          <w:szCs w:val="24"/>
        </w:rPr>
        <w:br/>
      </w:r>
      <w:r w:rsidR="00C74A2F" w:rsidRPr="00E43D13">
        <w:rPr>
          <w:sz w:val="24"/>
          <w:szCs w:val="24"/>
        </w:rPr>
        <w:t xml:space="preserve">o zwolnienie ze składek klub składa do ZUS przez portal PUE ZUS, za pośrednictwem poczty lub w placówce najpóźniej do 30 czerwca bieżącego roku wraz </w:t>
      </w:r>
      <w:r w:rsidR="00C74A2F" w:rsidRPr="00E43D13">
        <w:rPr>
          <w:sz w:val="24"/>
          <w:szCs w:val="24"/>
        </w:rPr>
        <w:br/>
        <w:t>z oświadczeniem o pomocy publicznej.</w:t>
      </w:r>
    </w:p>
    <w:p w:rsidR="00E43D13" w:rsidRPr="00E43D13" w:rsidRDefault="00E43D13" w:rsidP="00C74A2F">
      <w:pPr>
        <w:pStyle w:val="Akapitzlist"/>
        <w:jc w:val="both"/>
        <w:rPr>
          <w:sz w:val="24"/>
          <w:szCs w:val="24"/>
        </w:rPr>
      </w:pPr>
    </w:p>
    <w:p w:rsidR="006C3B3A" w:rsidRDefault="006C3B3A" w:rsidP="006C3B3A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C3B3A">
        <w:rPr>
          <w:b/>
          <w:sz w:val="24"/>
          <w:szCs w:val="24"/>
        </w:rPr>
        <w:t>Odstąpienie od pob</w:t>
      </w:r>
      <w:r>
        <w:rPr>
          <w:b/>
          <w:sz w:val="24"/>
          <w:szCs w:val="24"/>
        </w:rPr>
        <w:t>ierania odsetek za zwłokę od sk</w:t>
      </w:r>
      <w:r w:rsidRPr="006C3B3A">
        <w:rPr>
          <w:b/>
          <w:sz w:val="24"/>
          <w:szCs w:val="24"/>
        </w:rPr>
        <w:t>ładek</w:t>
      </w:r>
      <w:r>
        <w:rPr>
          <w:b/>
          <w:sz w:val="24"/>
          <w:szCs w:val="24"/>
        </w:rPr>
        <w:t xml:space="preserve"> na ubezpieczenia spo</w:t>
      </w:r>
      <w:r w:rsidRPr="006C3B3A">
        <w:rPr>
          <w:b/>
          <w:sz w:val="24"/>
          <w:szCs w:val="24"/>
        </w:rPr>
        <w:t>łeczne</w:t>
      </w:r>
      <w:r>
        <w:rPr>
          <w:b/>
          <w:sz w:val="24"/>
          <w:szCs w:val="24"/>
        </w:rPr>
        <w:t>.</w:t>
      </w:r>
    </w:p>
    <w:p w:rsidR="006C3B3A" w:rsidRPr="006C3B3A" w:rsidRDefault="006C3B3A" w:rsidP="006C3B3A">
      <w:pPr>
        <w:pStyle w:val="Akapitzlist"/>
        <w:jc w:val="both"/>
        <w:rPr>
          <w:sz w:val="24"/>
          <w:szCs w:val="24"/>
        </w:rPr>
      </w:pPr>
      <w:r w:rsidRPr="006C3B3A">
        <w:rPr>
          <w:sz w:val="24"/>
          <w:szCs w:val="24"/>
        </w:rPr>
        <w:t>Zakład Ubezpieczeń Społecznych może na wniosek dłużnika odstąpić od pobierania odsetek za zwłokę od należności z tytułu składek na</w:t>
      </w:r>
      <w:r>
        <w:rPr>
          <w:sz w:val="24"/>
          <w:szCs w:val="24"/>
        </w:rPr>
        <w:t xml:space="preserve"> </w:t>
      </w:r>
      <w:r w:rsidRPr="006C3B3A">
        <w:rPr>
          <w:sz w:val="24"/>
          <w:szCs w:val="24"/>
        </w:rPr>
        <w:t xml:space="preserve">ubezpieczenia społeczne należnych za okres przypadający po dniu 31 grudnia 2019 r. Wniosek, o odstąpienie od pobierania odsetek może być złożony do ZUS w terminie obowiązywania </w:t>
      </w:r>
      <w:proofErr w:type="spellStart"/>
      <w:proofErr w:type="gramStart"/>
      <w:r w:rsidRPr="006C3B3A">
        <w:rPr>
          <w:sz w:val="24"/>
          <w:szCs w:val="24"/>
        </w:rPr>
        <w:t>stanu</w:t>
      </w:r>
      <w:r>
        <w:rPr>
          <w:sz w:val="24"/>
          <w:szCs w:val="24"/>
        </w:rPr>
        <w:t>,</w:t>
      </w:r>
      <w:r w:rsidRPr="006C3B3A">
        <w:rPr>
          <w:sz w:val="24"/>
          <w:szCs w:val="24"/>
        </w:rPr>
        <w:t>zagrożenia</w:t>
      </w:r>
      <w:proofErr w:type="spellEnd"/>
      <w:proofErr w:type="gramEnd"/>
      <w:r w:rsidRPr="006C3B3A">
        <w:rPr>
          <w:sz w:val="24"/>
          <w:szCs w:val="24"/>
        </w:rPr>
        <w:t xml:space="preserve"> epidemicznego albo stanu epidemii albo w okresie 30 dni następujących po ich odwołaniu.</w:t>
      </w:r>
    </w:p>
    <w:p w:rsidR="006C3B3A" w:rsidRPr="006C3B3A" w:rsidRDefault="006C3B3A" w:rsidP="006C3B3A">
      <w:pPr>
        <w:pStyle w:val="Akapitzlist"/>
        <w:jc w:val="both"/>
        <w:rPr>
          <w:b/>
          <w:sz w:val="24"/>
          <w:szCs w:val="24"/>
        </w:rPr>
      </w:pPr>
    </w:p>
    <w:p w:rsidR="00C74A2F" w:rsidRPr="00E43D13" w:rsidRDefault="001A6B51" w:rsidP="001A6B5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43D13">
        <w:rPr>
          <w:b/>
          <w:sz w:val="24"/>
          <w:szCs w:val="24"/>
        </w:rPr>
        <w:t>Dofinansowanie wynagrodzeń.</w:t>
      </w:r>
    </w:p>
    <w:p w:rsidR="001A6B51" w:rsidRPr="00E43D13" w:rsidRDefault="007B5050" w:rsidP="007B5050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>Kluby</w:t>
      </w:r>
      <w:r w:rsidR="001A6B51" w:rsidRPr="00E43D13">
        <w:rPr>
          <w:sz w:val="24"/>
          <w:szCs w:val="24"/>
        </w:rPr>
        <w:t xml:space="preserve">, którym z powodu </w:t>
      </w:r>
      <w:proofErr w:type="spellStart"/>
      <w:r w:rsidR="001A6B51" w:rsidRPr="00E43D13">
        <w:rPr>
          <w:sz w:val="24"/>
          <w:szCs w:val="24"/>
        </w:rPr>
        <w:t>koronawirusa</w:t>
      </w:r>
      <w:proofErr w:type="spellEnd"/>
      <w:r w:rsidR="001A6B51" w:rsidRPr="00E43D13">
        <w:rPr>
          <w:sz w:val="24"/>
          <w:szCs w:val="24"/>
        </w:rPr>
        <w:t xml:space="preserve"> łączne przychody z działalności statutowej spadły o min. 30% – obliczone przez porównanie 60 następujących po sobie dni przypadających w okresie po 1 stycznia 2020 do analogicznych 60 dni w roku poprzednim – mogą ubiegać się o dofinansowanie do wynagrodzeń pracowników, przy czym dotyczy to zarówno pracowników zatrudnionych na podstawie umowy o pracę, jak i na podstawie umów cywilnoprawnych.</w:t>
      </w:r>
    </w:p>
    <w:p w:rsidR="007B5050" w:rsidRPr="00E43D13" w:rsidRDefault="007B5050" w:rsidP="007B5050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Dofinansowanie może być przyznane klubowi na okres nie dłuższy niż 3 miesiące, przypadające od miesiąca złożenia wniosku w przypadku spadku przychodów </w:t>
      </w:r>
      <w:r w:rsidR="00E43D13">
        <w:rPr>
          <w:sz w:val="24"/>
          <w:szCs w:val="24"/>
        </w:rPr>
        <w:br/>
      </w:r>
      <w:r w:rsidRPr="00E43D13">
        <w:rPr>
          <w:sz w:val="24"/>
          <w:szCs w:val="24"/>
        </w:rPr>
        <w:t>z działalności statutowej o:</w:t>
      </w:r>
    </w:p>
    <w:p w:rsidR="007B5050" w:rsidRPr="00E43D13" w:rsidRDefault="007B5050" w:rsidP="007B50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43D13">
        <w:rPr>
          <w:sz w:val="24"/>
          <w:szCs w:val="24"/>
        </w:rPr>
        <w:t>co najmniej 30% - w wysokości nieprzekraczającej kwoty stanowiącej sumę 50% wynagrodzeń,</w:t>
      </w:r>
    </w:p>
    <w:p w:rsidR="007B5050" w:rsidRPr="00E43D13" w:rsidRDefault="007B5050" w:rsidP="007B50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43D13">
        <w:rPr>
          <w:sz w:val="24"/>
          <w:szCs w:val="24"/>
        </w:rPr>
        <w:lastRenderedPageBreak/>
        <w:t>co najmniej 50% - w wysokości nieprzekraczającej kwoty stanowiącej sumę 70% wynagrodzeń,</w:t>
      </w:r>
    </w:p>
    <w:p w:rsidR="007B5050" w:rsidRPr="00E43D13" w:rsidRDefault="007B5050" w:rsidP="007B50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43D13">
        <w:rPr>
          <w:sz w:val="24"/>
          <w:szCs w:val="24"/>
        </w:rPr>
        <w:t>co najmniej 80% - w wysokości nieprzekraczającej kwoty stanowiącej sumę 90% wynagrodzeń</w:t>
      </w:r>
      <w:r w:rsidR="00087BE0" w:rsidRPr="00E43D13">
        <w:rPr>
          <w:sz w:val="24"/>
          <w:szCs w:val="24"/>
        </w:rPr>
        <w:t>.</w:t>
      </w:r>
    </w:p>
    <w:p w:rsidR="007B5050" w:rsidRDefault="00087BE0" w:rsidP="007B5050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Wnioski o dofinansowanie należy składać w powiatowych urzędach pracy lub przez stronę internetową </w:t>
      </w:r>
      <w:hyperlink r:id="rId5" w:history="1">
        <w:r w:rsidR="004676CB" w:rsidRPr="00E43D13">
          <w:rPr>
            <w:rStyle w:val="Hipercze"/>
            <w:sz w:val="24"/>
            <w:szCs w:val="24"/>
          </w:rPr>
          <w:t>www.praca.gov.pl</w:t>
        </w:r>
      </w:hyperlink>
      <w:r w:rsidR="004676CB" w:rsidRPr="00E43D13">
        <w:rPr>
          <w:sz w:val="24"/>
          <w:szCs w:val="24"/>
        </w:rPr>
        <w:t xml:space="preserve"> w terminie 14 dni od dnia ogłoszenia naboru przez dyrektora powiatowego urzędu pracy</w:t>
      </w:r>
      <w:r w:rsidRPr="00E43D13">
        <w:rPr>
          <w:sz w:val="24"/>
          <w:szCs w:val="24"/>
        </w:rPr>
        <w:t>.</w:t>
      </w:r>
    </w:p>
    <w:p w:rsidR="00E43D13" w:rsidRDefault="00E43D13" w:rsidP="007B5050">
      <w:pPr>
        <w:pStyle w:val="Akapitzlist"/>
        <w:jc w:val="both"/>
        <w:rPr>
          <w:sz w:val="24"/>
          <w:szCs w:val="24"/>
        </w:rPr>
      </w:pPr>
    </w:p>
    <w:p w:rsidR="00E43D13" w:rsidRDefault="00E43D13" w:rsidP="007B5050">
      <w:pPr>
        <w:pStyle w:val="Akapitzlist"/>
        <w:jc w:val="both"/>
        <w:rPr>
          <w:sz w:val="24"/>
          <w:szCs w:val="24"/>
        </w:rPr>
      </w:pPr>
    </w:p>
    <w:p w:rsidR="00E43D13" w:rsidRPr="00E43D13" w:rsidRDefault="00E43D13" w:rsidP="007B5050">
      <w:pPr>
        <w:pStyle w:val="Akapitzlist"/>
        <w:jc w:val="both"/>
        <w:rPr>
          <w:sz w:val="24"/>
          <w:szCs w:val="24"/>
        </w:rPr>
      </w:pPr>
    </w:p>
    <w:p w:rsidR="001A6B51" w:rsidRPr="00E43D13" w:rsidRDefault="006E6435" w:rsidP="006E64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43D13">
        <w:rPr>
          <w:b/>
          <w:sz w:val="24"/>
          <w:szCs w:val="24"/>
        </w:rPr>
        <w:t>Zmiana terminu i zasad rozliczania zadania publicznego</w:t>
      </w:r>
      <w:r w:rsidR="004C14EE" w:rsidRPr="00E43D13">
        <w:rPr>
          <w:b/>
          <w:sz w:val="24"/>
          <w:szCs w:val="24"/>
        </w:rPr>
        <w:t>.</w:t>
      </w:r>
    </w:p>
    <w:p w:rsidR="006E6435" w:rsidRDefault="006E6435" w:rsidP="006E6435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W okresie obowiązywania stanu zagrożenia epidemicznego albo stanu epidemii oraz </w:t>
      </w:r>
      <w:r w:rsidRPr="00E43D13">
        <w:rPr>
          <w:sz w:val="24"/>
          <w:szCs w:val="24"/>
        </w:rPr>
        <w:br/>
        <w:t xml:space="preserve">w terminie 30 dni następujących po ich odwołaniu organ administracji publicznej zlecający realizację zadania publicznego klubom jest uprawniony do przedłużenia terminu na złożenie sprawozdania z tego zadania, a także do uznania za uzasadnione wydatków poniesionych na sfinansowanie działań, które zostały odwołane </w:t>
      </w:r>
      <w:r w:rsidR="00E43D13">
        <w:rPr>
          <w:sz w:val="24"/>
          <w:szCs w:val="24"/>
        </w:rPr>
        <w:br/>
      </w:r>
      <w:r w:rsidRPr="00E43D13">
        <w:rPr>
          <w:sz w:val="24"/>
          <w:szCs w:val="24"/>
        </w:rPr>
        <w:t>w następstwie okoliczności związanych z obowiązywaniem stanu zagrożenia epidemicznego albo stanu epidemii. W przypadku niewykonanie planu działań lub nieosiągnięcie rezultatów założonych w umowie, na podstawie której zlecono realizację zadania publicznego, nie może skutkować uznaniem dotacji na realizację zadania publicznego w tej części za wykorzystaną niezgodnie z przeznaczeniem, pobraną nienależnie lub w nadmiernej wysokości i podlegającą zwrotowi.</w:t>
      </w:r>
    </w:p>
    <w:p w:rsidR="00E43D13" w:rsidRPr="00E43D13" w:rsidRDefault="00E43D13" w:rsidP="006E6435">
      <w:pPr>
        <w:pStyle w:val="Akapitzlist"/>
        <w:jc w:val="both"/>
        <w:rPr>
          <w:sz w:val="24"/>
          <w:szCs w:val="24"/>
        </w:rPr>
      </w:pPr>
    </w:p>
    <w:p w:rsidR="006E6435" w:rsidRPr="00E43D13" w:rsidRDefault="004C14EE" w:rsidP="004C14E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43D13">
        <w:rPr>
          <w:b/>
          <w:sz w:val="24"/>
          <w:szCs w:val="24"/>
        </w:rPr>
        <w:t>Badania profilaktyczne pracowników podczas epidemii.</w:t>
      </w:r>
    </w:p>
    <w:p w:rsidR="004C14EE" w:rsidRDefault="004C14EE" w:rsidP="004C14EE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Zawiesza się wykonywanie obowiązków dotyczących przeprowadzania: okresowych badań lekarskich pracowników. Zawieszenie wykonywania obowiązków ma charakter czasowy bowiem po odwołaniu stanu zagrożenia epidemicznego albo po odwołaniu stanu epidemii, pracodawca i pracownik są obowiązani niezwłocznie podjąć wykonywanie zawieszonych obowiązków i wykonać je w okresie nie dłuższym niż </w:t>
      </w:r>
      <w:r w:rsidR="00E43D13">
        <w:rPr>
          <w:sz w:val="24"/>
          <w:szCs w:val="24"/>
        </w:rPr>
        <w:br/>
      </w:r>
      <w:r w:rsidRPr="00E43D13">
        <w:rPr>
          <w:sz w:val="24"/>
          <w:szCs w:val="24"/>
        </w:rPr>
        <w:t>60 dni od dnia odwołania danego stanu.</w:t>
      </w:r>
    </w:p>
    <w:p w:rsidR="00E43D13" w:rsidRPr="00E43D13" w:rsidRDefault="00E43D13" w:rsidP="004C14EE">
      <w:pPr>
        <w:pStyle w:val="Akapitzlist"/>
        <w:jc w:val="both"/>
        <w:rPr>
          <w:sz w:val="24"/>
          <w:szCs w:val="24"/>
        </w:rPr>
      </w:pPr>
    </w:p>
    <w:p w:rsidR="004C14EE" w:rsidRPr="00E43D13" w:rsidRDefault="004C14EE" w:rsidP="004C14E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43D13">
        <w:rPr>
          <w:b/>
          <w:sz w:val="24"/>
          <w:szCs w:val="24"/>
        </w:rPr>
        <w:t>Przestój ekonomiczny lub obniżenie wymiaru czasu pracy oraz związane z tym świadczenia.</w:t>
      </w:r>
    </w:p>
    <w:p w:rsidR="00B331C9" w:rsidRPr="00E43D13" w:rsidRDefault="004C14EE" w:rsidP="00B331C9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>Kluby, których dotknął spadek obrotów gospodarczych w następstwie wystąpienia COVID-19 mają dwie możliwości: wprowadzenia przestoju ekonomicznego lub obniżenia wymiaru czasu pracy pracowników oraz możliwość uzyskania świadczeń na pokrycie części wynagrodzeń pracowników.</w:t>
      </w:r>
      <w:r w:rsidR="00B331C9" w:rsidRPr="00E43D13">
        <w:rPr>
          <w:sz w:val="24"/>
          <w:szCs w:val="24"/>
        </w:rPr>
        <w:t xml:space="preserve"> Klub może zwrócić się z wnioskiem </w:t>
      </w:r>
      <w:r w:rsidR="00E43D13">
        <w:rPr>
          <w:sz w:val="24"/>
          <w:szCs w:val="24"/>
        </w:rPr>
        <w:br/>
      </w:r>
      <w:r w:rsidR="00B331C9" w:rsidRPr="00E43D13">
        <w:rPr>
          <w:sz w:val="24"/>
          <w:szCs w:val="24"/>
        </w:rPr>
        <w:t xml:space="preserve">o przyznanie świadczeń na rzecz ochrony miejsc pracy, o wypłatę ze środków Funduszu Gwarantowanych Świadczeń Pracowniczych świadczeń na dofinansowanie wynagrodzenia pracowników objętych przestojem ekonomicznym albo obniżonym wymiarem czasu pracy. Wniosek składa się do wojewódzkiego urzędu pracy. warunkiem </w:t>
      </w:r>
      <w:proofErr w:type="gramStart"/>
      <w:r w:rsidR="00B331C9" w:rsidRPr="00E43D13">
        <w:rPr>
          <w:sz w:val="24"/>
          <w:szCs w:val="24"/>
        </w:rPr>
        <w:t>jest</w:t>
      </w:r>
      <w:proofErr w:type="gramEnd"/>
      <w:r w:rsidR="00B331C9" w:rsidRPr="00E43D13">
        <w:rPr>
          <w:sz w:val="24"/>
          <w:szCs w:val="24"/>
        </w:rPr>
        <w:t xml:space="preserve"> aby klub nie zalegał w regulowaniu zobowiązań podatkowych, składek na ubezpieczenia społeczne, ubezpieczenie zdrowotne, Fundusz Gwarantowanych Świadczeń Pracowniczych, Fundusz Pracy lub Fundusz Solidarnościowy do końca </w:t>
      </w:r>
      <w:r w:rsidR="00B331C9" w:rsidRPr="00E43D13">
        <w:rPr>
          <w:sz w:val="24"/>
          <w:szCs w:val="24"/>
        </w:rPr>
        <w:lastRenderedPageBreak/>
        <w:t>trzeciego kwartału 2019 r., nie zachodzą wobec niego przesłanki do ogłoszenia upadłości oraz dotknął go spadek obrotów gospodarczych w następstwie wystąpienia COVID-19. W ramach powyższego klub może:</w:t>
      </w:r>
    </w:p>
    <w:p w:rsidR="00B331C9" w:rsidRPr="00E43D13" w:rsidRDefault="00B331C9" w:rsidP="00B331C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43D13">
        <w:rPr>
          <w:sz w:val="24"/>
          <w:szCs w:val="24"/>
        </w:rPr>
        <w:t>wypłacać pracownikowi objętemu przestojem ekonomicznym wynagrodzenie obniżone nie więcej niż o 50%, nie niższe jednak niż w wysokości minimalnego wynagrodzenia za pracę ustalanego na podstawie przepisów o minimalnym wynagrodzeniu za pracę, z uwzględnieniem wymiaru czasu pracy;</w:t>
      </w:r>
    </w:p>
    <w:p w:rsidR="00B331C9" w:rsidRPr="00E43D13" w:rsidRDefault="00B331C9" w:rsidP="00B331C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obniżyć wymiar czasu pracy pracownika o 20%, nie więcej niż do 0,5 etatu, </w:t>
      </w:r>
      <w:r w:rsidRPr="00E43D13">
        <w:rPr>
          <w:sz w:val="24"/>
          <w:szCs w:val="24"/>
        </w:rPr>
        <w:br/>
        <w:t>z zastrzeżeniem, że wynagrodzenie nie może być niższe niż minimalne wynagrodzenie za pracę ustalane na podstawie przepisów o minimalnym wynagrodzeniu za pracę, z uwzględnieniem wymiaru czasu pracy.</w:t>
      </w:r>
    </w:p>
    <w:p w:rsidR="009116B4" w:rsidRPr="00E43D13" w:rsidRDefault="00B331C9" w:rsidP="009116B4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>Skorzystanie z ww. uprawnień pracodawcy wymaga jednak zawarcia porozumienia, które określi warunki i tryb wykonywania pracy w okresie przestoju ekonomicznego lub obniżonego wymiaru czasu pracy.</w:t>
      </w:r>
      <w:r w:rsidR="009116B4" w:rsidRPr="00E43D13">
        <w:rPr>
          <w:sz w:val="24"/>
          <w:szCs w:val="24"/>
        </w:rPr>
        <w:t xml:space="preserve"> Rozwiązania te stosuje się nie tylko do pracowników w rozumieniu przepisów prawa pracy. Omawianą regulację stosuje się odpowiednio do osób zatrudnionych na podstawie umowy o pracę nakładczą lub umowy zlecenia albo innej umowy o świadczenie usług. Pracodawca może uzyskać następujące wsparcie:</w:t>
      </w:r>
    </w:p>
    <w:p w:rsidR="009116B4" w:rsidRPr="00E43D13" w:rsidRDefault="009116B4" w:rsidP="009116B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dofinansowanie do wynagrodzenia pracownika objętego przestojem ekonomicznym, w wysokości 50% minimalnego wynagrodzenia za pracę ustalanego na podstawie przepisów o minimalnym wynagrodzeniu za pracę, </w:t>
      </w:r>
      <w:r w:rsidR="00E43D13">
        <w:rPr>
          <w:sz w:val="24"/>
          <w:szCs w:val="24"/>
        </w:rPr>
        <w:br/>
      </w:r>
      <w:r w:rsidRPr="00E43D13">
        <w:rPr>
          <w:sz w:val="24"/>
          <w:szCs w:val="24"/>
        </w:rPr>
        <w:t>z uwzględnieniem wymiaru czasu pracy;</w:t>
      </w:r>
    </w:p>
    <w:p w:rsidR="009116B4" w:rsidRPr="00E43D13" w:rsidRDefault="009116B4" w:rsidP="009116B4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dofinansowanie do wynagrodzenia pracownika, któremu obniżono wymiar czasu pracy o 20%, do wysokości połowy wynagrodzenia, jednak nie więcej niż 40% przeciętnego miesięcznego wynagrodzenia z poprzedniego kwartału ogłaszanego przez Prezesa Głównego Urzędu Statystycznego na podstawie przepisów </w:t>
      </w:r>
      <w:r w:rsidRPr="00E43D13">
        <w:rPr>
          <w:sz w:val="24"/>
          <w:szCs w:val="24"/>
        </w:rPr>
        <w:br/>
        <w:t>o emeryturach i rentach z Funduszu Ubezpieczeń Społecznych, obowiązującego na dzień złożenia wniosku.</w:t>
      </w:r>
    </w:p>
    <w:p w:rsidR="009116B4" w:rsidRDefault="009116B4" w:rsidP="009116B4">
      <w:pPr>
        <w:spacing w:after="0"/>
        <w:ind w:left="709"/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Świadczenia oraz środki, o których mowa powyżej, przysługują przez łączny okres </w:t>
      </w:r>
      <w:r w:rsidR="00E43D13">
        <w:rPr>
          <w:sz w:val="24"/>
          <w:szCs w:val="24"/>
        </w:rPr>
        <w:br/>
      </w:r>
      <w:r w:rsidRPr="00E43D13">
        <w:rPr>
          <w:sz w:val="24"/>
          <w:szCs w:val="24"/>
        </w:rPr>
        <w:t>3 miesięcy, przypadających od miesiąca złożenia wniosku.</w:t>
      </w:r>
    </w:p>
    <w:p w:rsidR="00E43D13" w:rsidRPr="00E43D13" w:rsidRDefault="00E43D13" w:rsidP="009116B4">
      <w:pPr>
        <w:spacing w:after="0"/>
        <w:ind w:left="709"/>
        <w:jc w:val="both"/>
        <w:rPr>
          <w:sz w:val="24"/>
          <w:szCs w:val="24"/>
        </w:rPr>
      </w:pPr>
    </w:p>
    <w:p w:rsidR="004C14EE" w:rsidRPr="00E43D13" w:rsidRDefault="009116B4" w:rsidP="009116B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43D13">
        <w:rPr>
          <w:b/>
          <w:sz w:val="24"/>
          <w:szCs w:val="24"/>
        </w:rPr>
        <w:t>Zwolnienia z podatku od nieruchomości.</w:t>
      </w:r>
    </w:p>
    <w:p w:rsidR="009116B4" w:rsidRDefault="009116B4" w:rsidP="009116B4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Rada gminy może wprowadzić, w drodze uchwały, za część roku 2020, zwolnienia </w:t>
      </w:r>
      <w:r w:rsidR="00E43D13">
        <w:rPr>
          <w:sz w:val="24"/>
          <w:szCs w:val="24"/>
        </w:rPr>
        <w:br/>
      </w:r>
      <w:r w:rsidRPr="00E43D13">
        <w:rPr>
          <w:sz w:val="24"/>
          <w:szCs w:val="24"/>
        </w:rPr>
        <w:t xml:space="preserve">z podatku od nieruchomości: gruntów, budynków i budowli zajętych na prowadzenie działalności przez organizacje pozarządowe, o których mowa w art. 3 ust. 2 ustawy </w:t>
      </w:r>
      <w:r w:rsidR="00E43D13">
        <w:rPr>
          <w:sz w:val="24"/>
          <w:szCs w:val="24"/>
        </w:rPr>
        <w:br/>
      </w:r>
      <w:r w:rsidRPr="00E43D13">
        <w:rPr>
          <w:sz w:val="24"/>
          <w:szCs w:val="24"/>
        </w:rPr>
        <w:t xml:space="preserve">z dnia 24 kwietnia 2003 r. o działalności pożytku publicznego i o wolontariacie, oraz podmioty wymienione w art. 3 ust. 3 ustawy, których płynność finansowa uległa pogorszeniu w związku z ponoszeniem negatywnych konsekwencji ekonomicznych </w:t>
      </w:r>
      <w:r w:rsidR="00E43D13">
        <w:rPr>
          <w:sz w:val="24"/>
          <w:szCs w:val="24"/>
        </w:rPr>
        <w:br/>
      </w:r>
      <w:r w:rsidRPr="00E43D13">
        <w:rPr>
          <w:sz w:val="24"/>
          <w:szCs w:val="24"/>
        </w:rPr>
        <w:t>z powodu COVID-19.</w:t>
      </w:r>
    </w:p>
    <w:p w:rsidR="00E43D13" w:rsidRPr="00E43D13" w:rsidRDefault="00E43D13" w:rsidP="009116B4">
      <w:pPr>
        <w:pStyle w:val="Akapitzlist"/>
        <w:jc w:val="both"/>
        <w:rPr>
          <w:sz w:val="24"/>
          <w:szCs w:val="24"/>
        </w:rPr>
      </w:pPr>
    </w:p>
    <w:p w:rsidR="009116B4" w:rsidRPr="00E43D13" w:rsidRDefault="004676CB" w:rsidP="004676C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43D13">
        <w:rPr>
          <w:b/>
          <w:sz w:val="24"/>
          <w:szCs w:val="24"/>
        </w:rPr>
        <w:t>Zmiany określonych w umowie warunków lub terminów spłaty kredytu.</w:t>
      </w:r>
    </w:p>
    <w:p w:rsidR="004676CB" w:rsidRPr="00E43D13" w:rsidRDefault="004676CB" w:rsidP="004676CB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 xml:space="preserve">Bank może dokonać zmiany określonych w umowie warunków lub terminów spłaty udzielonego kredytu lub </w:t>
      </w:r>
      <w:proofErr w:type="gramStart"/>
      <w:r w:rsidRPr="00E43D13">
        <w:rPr>
          <w:sz w:val="24"/>
          <w:szCs w:val="24"/>
        </w:rPr>
        <w:t>pożyczki</w:t>
      </w:r>
      <w:proofErr w:type="gramEnd"/>
      <w:r w:rsidRPr="00E43D13">
        <w:rPr>
          <w:sz w:val="24"/>
          <w:szCs w:val="24"/>
        </w:rPr>
        <w:t xml:space="preserve"> jeżeli:</w:t>
      </w:r>
    </w:p>
    <w:p w:rsidR="004676CB" w:rsidRPr="00E43D13" w:rsidRDefault="004676CB" w:rsidP="004676C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3D13">
        <w:rPr>
          <w:sz w:val="24"/>
          <w:szCs w:val="24"/>
        </w:rPr>
        <w:lastRenderedPageBreak/>
        <w:t>Kredyt (pożyczka) został udzielony przed dniem 8 marca 2020 r. oraz</w:t>
      </w:r>
    </w:p>
    <w:p w:rsidR="004676CB" w:rsidRPr="00E43D13" w:rsidRDefault="004676CB" w:rsidP="004676C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3D13">
        <w:rPr>
          <w:sz w:val="24"/>
          <w:szCs w:val="24"/>
        </w:rPr>
        <w:t>zmiana taka jest uzasadniona oceną sytuacji finansowej i gospodarczej kredytobiorcy dokonaną przez bank nie wcześniej niż w dniu 30 września 2019 r.</w:t>
      </w:r>
    </w:p>
    <w:p w:rsidR="004676CB" w:rsidRPr="00E43D13" w:rsidRDefault="004676CB" w:rsidP="004676CB">
      <w:pPr>
        <w:pStyle w:val="Akapitzlist"/>
        <w:jc w:val="both"/>
        <w:rPr>
          <w:sz w:val="24"/>
          <w:szCs w:val="24"/>
        </w:rPr>
      </w:pPr>
      <w:r w:rsidRPr="00E43D13">
        <w:rPr>
          <w:sz w:val="24"/>
          <w:szCs w:val="24"/>
        </w:rPr>
        <w:t>Zmiana dokonywana jest na warunkach uzgodnionych przez bank i kredytobiorcę, przy czym nie może ona powodować pogorszenia sytuacji finansowej i gospodarczej kredytobiorcy.</w:t>
      </w:r>
    </w:p>
    <w:p w:rsidR="006131FF" w:rsidRDefault="006131FF" w:rsidP="006131FF">
      <w:pPr>
        <w:pStyle w:val="Akapitzlist"/>
        <w:numPr>
          <w:ilvl w:val="0"/>
          <w:numId w:val="1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pl-PL"/>
        </w:rPr>
      </w:pPr>
      <w:r w:rsidRPr="006131FF">
        <w:rPr>
          <w:rFonts w:ascii="Helvetica" w:eastAsia="Times New Roman" w:hAnsi="Helvetica" w:cs="Times New Roman"/>
          <w:color w:val="000000"/>
          <w:sz w:val="18"/>
          <w:szCs w:val="18"/>
          <w:lang w:eastAsia="pl-PL"/>
        </w:rPr>
        <w:t>Termin sporządzenia sprawozdania finansowego oraz zeznania CIT-8 za rok 2019 zostaje przesunięty na 30.06.2020 r.</w:t>
      </w:r>
    </w:p>
    <w:p w:rsidR="006131FF" w:rsidRPr="006131FF" w:rsidRDefault="006131FF" w:rsidP="006131FF">
      <w:pPr>
        <w:pStyle w:val="Akapitzlist"/>
        <w:numPr>
          <w:ilvl w:val="0"/>
          <w:numId w:val="1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pl-PL"/>
        </w:rPr>
      </w:pPr>
      <w:r w:rsidRPr="006131FF">
        <w:rPr>
          <w:rFonts w:ascii="Helvetica" w:eastAsia="Times New Roman" w:hAnsi="Helvetica" w:cs="Times New Roman"/>
          <w:color w:val="000000"/>
          <w:sz w:val="18"/>
          <w:szCs w:val="18"/>
          <w:lang w:eastAsia="pl-PL"/>
        </w:rPr>
        <w:t>Sprawozdanie finansowe za rok 2019 należy zatwierdzić do 30.09.2020 r. </w:t>
      </w:r>
    </w:p>
    <w:p w:rsidR="004676CB" w:rsidRPr="006131FF" w:rsidRDefault="004676CB" w:rsidP="006131FF">
      <w:pPr>
        <w:rPr>
          <w:sz w:val="24"/>
          <w:szCs w:val="24"/>
        </w:rPr>
      </w:pPr>
    </w:p>
    <w:p w:rsidR="00977C77" w:rsidRPr="00E43D13" w:rsidRDefault="00977C77" w:rsidP="00977C77">
      <w:pPr>
        <w:rPr>
          <w:sz w:val="24"/>
          <w:szCs w:val="24"/>
        </w:rPr>
      </w:pPr>
    </w:p>
    <w:sectPr w:rsidR="00977C77" w:rsidRPr="00E4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777"/>
    <w:multiLevelType w:val="hybridMultilevel"/>
    <w:tmpl w:val="949A6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2F84"/>
    <w:multiLevelType w:val="hybridMultilevel"/>
    <w:tmpl w:val="2072F8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5F4F57"/>
    <w:multiLevelType w:val="hybridMultilevel"/>
    <w:tmpl w:val="11345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BA1168"/>
    <w:multiLevelType w:val="hybridMultilevel"/>
    <w:tmpl w:val="CCD224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2D1AB5"/>
    <w:multiLevelType w:val="hybridMultilevel"/>
    <w:tmpl w:val="90AEF5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77"/>
    <w:rsid w:val="00087BE0"/>
    <w:rsid w:val="00190C99"/>
    <w:rsid w:val="001A6B51"/>
    <w:rsid w:val="004676CB"/>
    <w:rsid w:val="004C14EE"/>
    <w:rsid w:val="004E7481"/>
    <w:rsid w:val="006131FF"/>
    <w:rsid w:val="006C3B3A"/>
    <w:rsid w:val="006E6435"/>
    <w:rsid w:val="007B5050"/>
    <w:rsid w:val="009116B4"/>
    <w:rsid w:val="00977C77"/>
    <w:rsid w:val="00B331C9"/>
    <w:rsid w:val="00C74A2F"/>
    <w:rsid w:val="00E059DB"/>
    <w:rsid w:val="00E43D13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76B1"/>
  <w15:chartTrackingRefBased/>
  <w15:docId w15:val="{19CD666D-86C6-4A5F-8D43-3D525E83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6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Jacek Zawadka</cp:lastModifiedBy>
  <cp:revision>2</cp:revision>
  <dcterms:created xsi:type="dcterms:W3CDTF">2020-04-29T09:15:00Z</dcterms:created>
  <dcterms:modified xsi:type="dcterms:W3CDTF">2020-04-29T09:15:00Z</dcterms:modified>
</cp:coreProperties>
</file>